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3716" w:type="dxa"/>
        <w:tblLook w:val="04A0" w:firstRow="1" w:lastRow="0" w:firstColumn="1" w:lastColumn="0" w:noHBand="0" w:noVBand="1"/>
      </w:tblPr>
      <w:tblGrid>
        <w:gridCol w:w="1019"/>
        <w:gridCol w:w="5019"/>
        <w:gridCol w:w="2986"/>
        <w:gridCol w:w="2720"/>
        <w:gridCol w:w="1972"/>
      </w:tblGrid>
      <w:tr w:rsidR="00E24F37" w:rsidRPr="009A4ECC" w:rsidTr="009A4ECC">
        <w:tc>
          <w:tcPr>
            <w:tcW w:w="1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Tid</w:t>
            </w:r>
          </w:p>
        </w:tc>
        <w:tc>
          <w:tcPr>
            <w:tcW w:w="5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Emne</w:t>
            </w:r>
          </w:p>
        </w:tc>
        <w:tc>
          <w:tcPr>
            <w:tcW w:w="2986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Hvem/Metode</w:t>
            </w:r>
          </w:p>
        </w:tc>
        <w:tc>
          <w:tcPr>
            <w:tcW w:w="2720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Mål</w:t>
            </w:r>
          </w:p>
        </w:tc>
        <w:tc>
          <w:tcPr>
            <w:tcW w:w="1972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Materialer</w:t>
            </w:r>
          </w:p>
        </w:tc>
      </w:tr>
      <w:tr w:rsidR="00E24F37" w:rsidRPr="009A4ECC" w:rsidTr="009A4ECC">
        <w:tc>
          <w:tcPr>
            <w:tcW w:w="1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17.00-17.20</w:t>
            </w:r>
          </w:p>
        </w:tc>
        <w:tc>
          <w:tcPr>
            <w:tcW w:w="5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Tjek ind</w:t>
            </w:r>
          </w:p>
          <w:p w:rsidR="0082386C" w:rsidRPr="009A4ECC" w:rsidRDefault="00D33919" w:rsidP="000A6681">
            <w:pPr>
              <w:rPr>
                <w:rFonts w:ascii="Garamond" w:hAnsi="Garamond" w:cs="Times New Roman"/>
                <w:sz w:val="24"/>
                <w:szCs w:val="24"/>
                <w:lang w:bidi="en-US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Fordel folk så de sidder med nogen, de ikke kender så godt. </w:t>
            </w:r>
            <w:r w:rsidRPr="009A4ECC">
              <w:rPr>
                <w:rFonts w:ascii="Garamond" w:hAnsi="Garamond" w:cs="Times New Roman"/>
                <w:i/>
                <w:sz w:val="24"/>
                <w:szCs w:val="24"/>
              </w:rPr>
              <w:t>Tal med din sidemand:</w:t>
            </w:r>
            <w:r w:rsidR="000A6681" w:rsidRPr="009A4ECC">
              <w:rPr>
                <w:rFonts w:ascii="Garamond" w:hAnsi="Garamond" w:cs="Times New Roman"/>
                <w:i/>
                <w:sz w:val="24"/>
                <w:szCs w:val="24"/>
                <w:lang w:bidi="en-US"/>
              </w:rPr>
              <w:t>.</w:t>
            </w:r>
            <w:r w:rsidR="0082386C" w:rsidRPr="009A4ECC">
              <w:rPr>
                <w:rFonts w:ascii="Garamond" w:hAnsi="Garamond" w:cs="Times New Roman"/>
                <w:i/>
                <w:sz w:val="24"/>
                <w:szCs w:val="24"/>
                <w:lang w:bidi="en-US"/>
              </w:rPr>
              <w:t xml:space="preserve"> Personen med den længste pegefinger fortælle</w:t>
            </w:r>
            <w:r w:rsidR="000A6681" w:rsidRPr="009A4ECC">
              <w:rPr>
                <w:rFonts w:ascii="Garamond" w:hAnsi="Garamond" w:cs="Times New Roman"/>
                <w:i/>
                <w:sz w:val="24"/>
                <w:szCs w:val="24"/>
                <w:lang w:bidi="en-US"/>
              </w:rPr>
              <w:t>r</w:t>
            </w:r>
            <w:r w:rsidR="0082386C" w:rsidRPr="009A4ECC">
              <w:rPr>
                <w:rFonts w:ascii="Garamond" w:hAnsi="Garamond" w:cs="Times New Roman"/>
                <w:i/>
                <w:sz w:val="24"/>
                <w:szCs w:val="24"/>
                <w:lang w:bidi="en-US"/>
              </w:rPr>
              <w:t xml:space="preserve"> sin dag bagfra på 30 sekunder til den anden person. Man begynder historien nu, hvor man står overfor den anden person og slutter den, da man steg ud af sengen i morges.</w:t>
            </w:r>
          </w:p>
          <w:p w:rsidR="0082386C" w:rsidRPr="009A4ECC" w:rsidRDefault="0082386C" w:rsidP="000A6681">
            <w:pPr>
              <w:rPr>
                <w:rFonts w:ascii="Garamond" w:hAnsi="Garamond" w:cs="Times New Roman"/>
                <w:sz w:val="24"/>
                <w:szCs w:val="24"/>
                <w:lang w:bidi="en-US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  <w:lang w:bidi="en-US"/>
              </w:rPr>
              <w:t>Bagefter er det den andens tur til at fortælle sin dag bagfra.</w:t>
            </w:r>
          </w:p>
          <w:p w:rsidR="0082386C" w:rsidRPr="009A4ECC" w:rsidRDefault="0082386C" w:rsidP="0082386C">
            <w:pPr>
              <w:ind w:left="360"/>
              <w:rPr>
                <w:rFonts w:ascii="Garamond" w:hAnsi="Garamond" w:cs="Times New Roman"/>
                <w:sz w:val="24"/>
                <w:szCs w:val="24"/>
                <w:lang w:bidi="en-US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Hvad lærte jeg sidst?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Præsentation af dagen og af gæsteunderviser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A6681" w:rsidRPr="009A4ECC" w:rsidRDefault="000A6681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A6681" w:rsidRPr="009A4ECC" w:rsidRDefault="000A6681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A6681" w:rsidRPr="009A4ECC" w:rsidRDefault="000A6681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A6681" w:rsidRPr="009A4ECC" w:rsidRDefault="000A6681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A6681" w:rsidRPr="009A4ECC" w:rsidRDefault="000A6681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A6681" w:rsidRPr="009A4ECC" w:rsidRDefault="000A6681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A6681" w:rsidRPr="009A4ECC" w:rsidRDefault="000A6681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Bed kvinderne gå sammen to og to, og fortælle hinanden hvad de husker fra sidste gang. 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A6681" w:rsidRPr="009A4ECC" w:rsidRDefault="000A6681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</w:tc>
        <w:tc>
          <w:tcPr>
            <w:tcW w:w="2720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At de lærer hinanden at kende. </w:t>
            </w:r>
            <w:r w:rsidR="00D33919" w:rsidRPr="009A4ECC">
              <w:rPr>
                <w:rFonts w:ascii="Garamond" w:hAnsi="Garamond" w:cs="Times New Roman"/>
                <w:sz w:val="24"/>
                <w:szCs w:val="24"/>
              </w:rPr>
              <w:t>At grine sammen.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Skabe god stemning.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At huske hvad man har lært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Give et overblik over dagen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24F37" w:rsidRPr="009A4ECC" w:rsidTr="009A4ECC">
        <w:tc>
          <w:tcPr>
            <w:tcW w:w="1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17.20-17.35</w:t>
            </w:r>
          </w:p>
        </w:tc>
        <w:tc>
          <w:tcPr>
            <w:tcW w:w="5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Øvelse: Refleksion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Bed Bydelsmødrene fortælle i plenum:</w:t>
            </w:r>
          </w:p>
          <w:p w:rsidR="00E24F37" w:rsidRPr="009A4ECC" w:rsidRDefault="00E24F37" w:rsidP="009A6362">
            <w:pPr>
              <w:pStyle w:val="Listeafsnit"/>
              <w:numPr>
                <w:ilvl w:val="0"/>
                <w:numId w:val="3"/>
              </w:num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i/>
                <w:sz w:val="24"/>
                <w:szCs w:val="24"/>
              </w:rPr>
              <w:t>Hvad tænker og ved I om dagens emne?</w:t>
            </w:r>
          </w:p>
          <w:p w:rsidR="00E24F37" w:rsidRPr="009A4ECC" w:rsidRDefault="00E24F37" w:rsidP="009A6362">
            <w:pPr>
              <w:pStyle w:val="Listeafsnit"/>
              <w:numPr>
                <w:ilvl w:val="0"/>
                <w:numId w:val="3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Hvilke dilemmaer møder jeres målgruppe i mødet med gæstens institution/funktion?</w:t>
            </w:r>
          </w:p>
        </w:tc>
        <w:tc>
          <w:tcPr>
            <w:tcW w:w="2986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Koordinator og gæsteunderviser</w:t>
            </w:r>
          </w:p>
        </w:tc>
        <w:tc>
          <w:tcPr>
            <w:tcW w:w="2720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Bydelsmødrene bliver fokuseret på emnet og underviseren får en fornemmelse af deres viden og interesser. </w:t>
            </w:r>
          </w:p>
        </w:tc>
        <w:tc>
          <w:tcPr>
            <w:tcW w:w="1972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24F37" w:rsidRPr="009A4ECC" w:rsidTr="009A4ECC">
        <w:tc>
          <w:tcPr>
            <w:tcW w:w="1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17.35-17.50</w:t>
            </w:r>
          </w:p>
        </w:tc>
        <w:tc>
          <w:tcPr>
            <w:tcW w:w="5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Ny viden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Underviseren holder et kort oplæg og præsenterer 2 </w:t>
            </w:r>
            <w:r w:rsidRPr="009A4ECC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pointer 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 xml:space="preserve">Henvisning 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Konkrete steder at få hjælp eller gode tilbud man kan gøre brug af.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Hav endelig foldere med.</w:t>
            </w:r>
          </w:p>
        </w:tc>
        <w:tc>
          <w:tcPr>
            <w:tcW w:w="2986" w:type="dxa"/>
          </w:tcPr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A4ECC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Gæsteunderviser</w:t>
            </w: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eastAsia="Times New Roman" w:hAnsi="Garamond" w:cs="Times New Roman"/>
                <w:sz w:val="24"/>
                <w:szCs w:val="24"/>
              </w:rPr>
              <w:t>Gæsteunderviser</w:t>
            </w:r>
          </w:p>
        </w:tc>
        <w:tc>
          <w:tcPr>
            <w:tcW w:w="2720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lastRenderedPageBreak/>
              <w:t>At lære kvinderne om:</w:t>
            </w:r>
          </w:p>
          <w:p w:rsidR="00E24F37" w:rsidRPr="009A4ECC" w:rsidRDefault="00E24F37" w:rsidP="00E24F37">
            <w:pPr>
              <w:pStyle w:val="Listeafsnit"/>
              <w:numPr>
                <w:ilvl w:val="0"/>
                <w:numId w:val="4"/>
              </w:numPr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Teenagere </w:t>
            </w:r>
            <w:r w:rsidRPr="009A4ECC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og </w:t>
            </w:r>
            <w:r w:rsidRPr="009A4ECC"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t>større forståelse for de udfordringer, som de møder</w:t>
            </w:r>
          </w:p>
          <w:p w:rsidR="00E24F37" w:rsidRPr="009A4ECC" w:rsidRDefault="00E24F37" w:rsidP="00E24F37">
            <w:pPr>
              <w:pStyle w:val="Listeafsnit"/>
              <w:numPr>
                <w:ilvl w:val="0"/>
                <w:numId w:val="4"/>
              </w:numPr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color w:val="000000"/>
                <w:sz w:val="24"/>
                <w:szCs w:val="24"/>
              </w:rPr>
              <w:t>Hvordan man som forældre kan kommunikere med sin teenager.</w:t>
            </w:r>
          </w:p>
          <w:p w:rsidR="00E24F37" w:rsidRPr="009A4ECC" w:rsidRDefault="00E24F37" w:rsidP="00E24F37">
            <w:pPr>
              <w:pStyle w:val="Listeafsni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At vise hvor man kan gå hen for hjælp, og hvilke lokale tilbud man kan trække på.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24F37" w:rsidRPr="009A4ECC" w:rsidTr="009A4ECC">
        <w:tc>
          <w:tcPr>
            <w:tcW w:w="1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lastRenderedPageBreak/>
              <w:t>17.50-18.05</w:t>
            </w:r>
          </w:p>
        </w:tc>
        <w:tc>
          <w:tcPr>
            <w:tcW w:w="5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 xml:space="preserve">Øvelse: Viden 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Bydelsmødre diskuterer spørgsmål fra gæsteunderviser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Ex. </w:t>
            </w:r>
            <w:r w:rsidRPr="009A4ECC">
              <w:rPr>
                <w:rFonts w:ascii="Garamond" w:hAnsi="Garamond" w:cs="Times New Roman"/>
                <w:i/>
                <w:sz w:val="24"/>
                <w:szCs w:val="24"/>
              </w:rPr>
              <w:t>Hvilke udfordringer kan man møde med sin teenager, og hvordan kan det håndteres</w:t>
            </w:r>
            <w:r w:rsidRPr="009A4ECC">
              <w:rPr>
                <w:rFonts w:ascii="Garamond" w:hAnsi="Garamond" w:cs="Times New Roman"/>
                <w:sz w:val="24"/>
                <w:szCs w:val="24"/>
              </w:rPr>
              <w:t>?</w:t>
            </w: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24F37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Opsamling i plenum</w:t>
            </w:r>
          </w:p>
          <w:p w:rsidR="00C079FF" w:rsidRPr="009A4ECC" w:rsidRDefault="00C079FF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Bed en eller to grupper fortælle hvad de har talt om.</w:t>
            </w:r>
          </w:p>
        </w:tc>
        <w:tc>
          <w:tcPr>
            <w:tcW w:w="2986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eastAsia="Times New Roman" w:hAnsi="Garamond" w:cs="Times New Roman"/>
                <w:sz w:val="24"/>
                <w:szCs w:val="24"/>
              </w:rPr>
              <w:t xml:space="preserve">Gæsteunderviser: </w:t>
            </w:r>
            <w:r w:rsidRPr="009A4ECC">
              <w:rPr>
                <w:rFonts w:ascii="Garamond" w:hAnsi="Garamond" w:cs="Times New Roman"/>
                <w:sz w:val="24"/>
                <w:szCs w:val="24"/>
              </w:rPr>
              <w:t>Hvilket spørgsmål har dit oplæg netop givet svar på? Stil Bydelsmødrene dette spørgsmål.</w:t>
            </w: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A4ECC">
              <w:rPr>
                <w:rFonts w:ascii="Garamond" w:eastAsia="Times New Roman" w:hAnsi="Garamond" w:cs="Times New Roman"/>
                <w:sz w:val="24"/>
                <w:szCs w:val="24"/>
              </w:rPr>
              <w:t>3 og 3  i 10 min</w:t>
            </w: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A4ECC">
              <w:rPr>
                <w:rFonts w:ascii="Garamond" w:eastAsia="Times New Roman" w:hAnsi="Garamond" w:cs="Times New Roman"/>
                <w:sz w:val="24"/>
                <w:szCs w:val="24"/>
              </w:rPr>
              <w:t>Fælles opsamling 10 min.</w:t>
            </w:r>
          </w:p>
        </w:tc>
        <w:tc>
          <w:tcPr>
            <w:tcW w:w="2720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At få kombineret den viden Bydelsmødre har i forvejen, med den ekspertviden de netop har fået. + at finde ud af, hvor de har huller.</w:t>
            </w:r>
          </w:p>
        </w:tc>
        <w:tc>
          <w:tcPr>
            <w:tcW w:w="1972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24F37" w:rsidRPr="009A4ECC" w:rsidTr="009A4ECC">
        <w:tc>
          <w:tcPr>
            <w:tcW w:w="1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18.05</w:t>
            </w:r>
          </w:p>
        </w:tc>
        <w:tc>
          <w:tcPr>
            <w:tcW w:w="5019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Aftensmad/Pause</w:t>
            </w:r>
          </w:p>
        </w:tc>
        <w:tc>
          <w:tcPr>
            <w:tcW w:w="2986" w:type="dxa"/>
          </w:tcPr>
          <w:p w:rsidR="00E24F37" w:rsidRPr="009A4ECC" w:rsidRDefault="00E24F37" w:rsidP="009A636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A4ECC">
              <w:rPr>
                <w:rFonts w:ascii="Garamond" w:eastAsia="Times New Roman" w:hAnsi="Garamond" w:cs="Times New Roman"/>
                <w:sz w:val="24"/>
                <w:szCs w:val="24"/>
              </w:rPr>
              <w:t>Koordinator krydser af og tjekker kontaktoplysninger</w:t>
            </w:r>
          </w:p>
        </w:tc>
        <w:tc>
          <w:tcPr>
            <w:tcW w:w="2720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24F37" w:rsidRPr="009A4ECC" w:rsidRDefault="00E24F37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4ECC" w:rsidRPr="009A4ECC" w:rsidTr="009A4ECC">
        <w:tc>
          <w:tcPr>
            <w:tcW w:w="1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18.35-18.45</w:t>
            </w:r>
          </w:p>
        </w:tc>
        <w:tc>
          <w:tcPr>
            <w:tcW w:w="5019" w:type="dxa"/>
          </w:tcPr>
          <w:p w:rsidR="009A4ECC" w:rsidRPr="0032777B" w:rsidRDefault="009A4ECC" w:rsidP="0001009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Styrk det sociale</w:t>
            </w:r>
          </w:p>
          <w:p w:rsidR="009A4ECC" w:rsidRPr="0032777B" w:rsidRDefault="009A4ECC" w:rsidP="0001009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Stil jer i en rundskreds. Lav gymnastik og ryst </w:t>
            </w: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kroppen. Alle finder på en øvelse hver på skift.</w:t>
            </w:r>
          </w:p>
          <w:p w:rsidR="009A4ECC" w:rsidRPr="0032777B" w:rsidRDefault="009A4ECC" w:rsidP="000100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86" w:type="dxa"/>
          </w:tcPr>
          <w:p w:rsidR="009A4ECC" w:rsidRPr="0032777B" w:rsidRDefault="009A4ECC" w:rsidP="0001009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2777B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Koordinator</w:t>
            </w:r>
          </w:p>
        </w:tc>
        <w:tc>
          <w:tcPr>
            <w:tcW w:w="2720" w:type="dxa"/>
          </w:tcPr>
          <w:p w:rsidR="009A4ECC" w:rsidRPr="0032777B" w:rsidRDefault="009A4ECC" w:rsidP="0001009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lære hinanden at kende</w:t>
            </w:r>
          </w:p>
          <w:p w:rsidR="009A4ECC" w:rsidRPr="0032777B" w:rsidRDefault="009A4ECC" w:rsidP="0001009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få energi</w:t>
            </w:r>
          </w:p>
          <w:p w:rsidR="009A4ECC" w:rsidRPr="0032777B" w:rsidRDefault="009A4ECC" w:rsidP="0001009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At grine sammen</w:t>
            </w:r>
          </w:p>
        </w:tc>
        <w:tc>
          <w:tcPr>
            <w:tcW w:w="1972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4ECC" w:rsidRPr="009A4ECC" w:rsidTr="009A4ECC">
        <w:tc>
          <w:tcPr>
            <w:tcW w:w="1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18.45- 19.00 </w:t>
            </w:r>
          </w:p>
        </w:tc>
        <w:tc>
          <w:tcPr>
            <w:tcW w:w="5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Ny viden</w:t>
            </w:r>
          </w:p>
          <w:p w:rsidR="009A4ECC" w:rsidRPr="009A4ECC" w:rsidRDefault="009A4ECC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Gæsteunderviser udvælger 3 hovedpointer</w:t>
            </w:r>
          </w:p>
        </w:tc>
        <w:tc>
          <w:tcPr>
            <w:tcW w:w="2986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Gæsteunderviser</w:t>
            </w:r>
          </w:p>
        </w:tc>
        <w:tc>
          <w:tcPr>
            <w:tcW w:w="2720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At lærer kvinderne om:</w:t>
            </w:r>
          </w:p>
          <w:p w:rsidR="009A4ECC" w:rsidRPr="009A4ECC" w:rsidRDefault="009A4ECC" w:rsidP="00AA5CBF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Viden om teenagere </w:t>
            </w:r>
            <w:r w:rsidRPr="009A4ECC">
              <w:rPr>
                <w:rFonts w:ascii="Garamond" w:hAnsi="Garamond" w:cs="Times New Roman"/>
                <w:color w:val="000000"/>
                <w:sz w:val="24"/>
                <w:szCs w:val="24"/>
              </w:rPr>
              <w:t>og større forståelse for de udfordringer, som de møder.</w:t>
            </w:r>
          </w:p>
          <w:p w:rsidR="009A4ECC" w:rsidRPr="009A4ECC" w:rsidRDefault="009A4ECC" w:rsidP="00AA5CBF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color w:val="000000"/>
                <w:sz w:val="24"/>
                <w:szCs w:val="24"/>
              </w:rPr>
              <w:t>Viden om hvordan man som forældre kan kommunikere med sin teenager.</w:t>
            </w:r>
          </w:p>
        </w:tc>
        <w:tc>
          <w:tcPr>
            <w:tcW w:w="1972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4ECC" w:rsidRPr="009A4ECC" w:rsidTr="009A4ECC">
        <w:tc>
          <w:tcPr>
            <w:tcW w:w="1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19.00-19.20</w:t>
            </w:r>
          </w:p>
        </w:tc>
        <w:tc>
          <w:tcPr>
            <w:tcW w:w="5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Øvelse: Case</w:t>
            </w: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Bydelsmødrene får to forskellige cases udarbejdet af gæsteunderviser. De skal diskutere, hvordan de ville vejlede/handle som Bydelsmor.</w:t>
            </w: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9A4ECC" w:rsidRPr="009A4ECC" w:rsidRDefault="009A4ECC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9A4ECC" w:rsidRDefault="009A4ECC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Kort opsamling</w:t>
            </w:r>
          </w:p>
          <w:p w:rsidR="00C079FF" w:rsidRPr="009A4ECC" w:rsidRDefault="00C079FF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Bed en eller to grupper fortælle hvad de har talt om.</w:t>
            </w:r>
          </w:p>
        </w:tc>
        <w:tc>
          <w:tcPr>
            <w:tcW w:w="2986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Koordinator/gæsteunderviser</w:t>
            </w: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3 og 3 i 10 min.</w:t>
            </w: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5 minutters opsamling i plenum</w:t>
            </w:r>
          </w:p>
        </w:tc>
        <w:tc>
          <w:tcPr>
            <w:tcW w:w="2720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Øve sig i at være Bydelsmor og bruge den viden de netop har fået. + Finde ud af, hvad de ikke ved.</w:t>
            </w:r>
          </w:p>
        </w:tc>
        <w:tc>
          <w:tcPr>
            <w:tcW w:w="1972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A4ECC">
              <w:rPr>
                <w:rFonts w:ascii="Garamond" w:hAnsi="Garamond" w:cs="Times New Roman"/>
                <w:sz w:val="24"/>
                <w:szCs w:val="24"/>
              </w:rPr>
              <w:t>Udprintede</w:t>
            </w:r>
            <w:proofErr w:type="spellEnd"/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 case-ark</w:t>
            </w:r>
          </w:p>
        </w:tc>
      </w:tr>
      <w:tr w:rsidR="009A4ECC" w:rsidRPr="009A4ECC" w:rsidTr="009A4ECC">
        <w:tc>
          <w:tcPr>
            <w:tcW w:w="1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19.20-19.30</w:t>
            </w:r>
          </w:p>
        </w:tc>
        <w:tc>
          <w:tcPr>
            <w:tcW w:w="5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Pause</w:t>
            </w:r>
          </w:p>
        </w:tc>
        <w:tc>
          <w:tcPr>
            <w:tcW w:w="2986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color w:val="7030A0"/>
                <w:sz w:val="24"/>
                <w:szCs w:val="24"/>
              </w:rPr>
            </w:pPr>
          </w:p>
        </w:tc>
        <w:tc>
          <w:tcPr>
            <w:tcW w:w="2720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4ECC" w:rsidRPr="009A4ECC" w:rsidTr="009A4ECC">
        <w:tc>
          <w:tcPr>
            <w:tcW w:w="1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19.30- 19.40</w:t>
            </w:r>
          </w:p>
        </w:tc>
        <w:tc>
          <w:tcPr>
            <w:tcW w:w="5019" w:type="dxa"/>
          </w:tcPr>
          <w:p w:rsidR="009A4ECC" w:rsidRPr="009A4ECC" w:rsidRDefault="009A4ECC" w:rsidP="00AA5CB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Hvad skal vi næste gang?</w:t>
            </w:r>
          </w:p>
          <w:p w:rsidR="009A4ECC" w:rsidRPr="009A4ECC" w:rsidRDefault="009A4ECC" w:rsidP="00AA5CB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Næste modul: Familie 3- Ligestilling og rettigheder.</w:t>
            </w:r>
          </w:p>
          <w:p w:rsidR="009A4ECC" w:rsidRPr="009A4ECC" w:rsidRDefault="009A4ECC" w:rsidP="00AA5CB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Fortæl mere om næste gang.</w:t>
            </w:r>
          </w:p>
          <w:p w:rsidR="009A4ECC" w:rsidRPr="009A4ECC" w:rsidRDefault="009A4ECC" w:rsidP="00AA5CBF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9A4ECC" w:rsidRPr="009A4ECC" w:rsidRDefault="009A4ECC" w:rsidP="00AA5CB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Tal evt. om kapitler i ”Alle har ret til ligestilling” der kan læses til næste gang.</w:t>
            </w:r>
          </w:p>
        </w:tc>
        <w:tc>
          <w:tcPr>
            <w:tcW w:w="2986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</w:tc>
        <w:tc>
          <w:tcPr>
            <w:tcW w:w="2720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4ECC" w:rsidRPr="009A4ECC" w:rsidTr="009A4ECC">
        <w:tc>
          <w:tcPr>
            <w:tcW w:w="1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>19.40-20.00</w:t>
            </w:r>
          </w:p>
        </w:tc>
        <w:tc>
          <w:tcPr>
            <w:tcW w:w="5019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b/>
                <w:sz w:val="24"/>
                <w:szCs w:val="24"/>
              </w:rPr>
              <w:t>Tjek-ud</w:t>
            </w: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t xml:space="preserve">Stå i en rundkreds: En af gangen fortæller: </w:t>
            </w:r>
            <w:r w:rsidRPr="009A4ECC">
              <w:rPr>
                <w:rFonts w:ascii="Garamond" w:hAnsi="Garamond" w:cs="Times New Roman"/>
                <w:sz w:val="24"/>
                <w:szCs w:val="24"/>
              </w:rPr>
              <w:lastRenderedPageBreak/>
              <w:t>”Hvordan gik undervisningsgangen - Hvad fik jeg med som jeg kan bruge?”. Når alle har sagt noget slutter mødet.</w:t>
            </w:r>
          </w:p>
        </w:tc>
        <w:tc>
          <w:tcPr>
            <w:tcW w:w="2986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lastRenderedPageBreak/>
              <w:t>Koordinator</w:t>
            </w: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A4ECC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At få sluttet godt af og få tænkt over, hvad der har </w:t>
            </w:r>
            <w:r w:rsidRPr="009A4ECC">
              <w:rPr>
                <w:rFonts w:ascii="Garamond" w:hAnsi="Garamond" w:cs="Times New Roman"/>
                <w:sz w:val="24"/>
                <w:szCs w:val="24"/>
              </w:rPr>
              <w:lastRenderedPageBreak/>
              <w:t>været vigtigt, og hvad man har taget med sig hjem.</w:t>
            </w:r>
          </w:p>
        </w:tc>
        <w:tc>
          <w:tcPr>
            <w:tcW w:w="1972" w:type="dxa"/>
          </w:tcPr>
          <w:p w:rsidR="009A4ECC" w:rsidRPr="009A4ECC" w:rsidRDefault="009A4ECC" w:rsidP="009A636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24F37" w:rsidRPr="009A4ECC" w:rsidRDefault="00E24F37" w:rsidP="00E24F37">
      <w:pPr>
        <w:rPr>
          <w:rFonts w:ascii="Garamond" w:hAnsi="Garamond" w:cs="Times New Roman"/>
          <w:sz w:val="24"/>
          <w:szCs w:val="24"/>
        </w:rPr>
      </w:pPr>
    </w:p>
    <w:p w:rsidR="00290A53" w:rsidRPr="009A4ECC" w:rsidRDefault="00290A53">
      <w:pPr>
        <w:rPr>
          <w:rFonts w:ascii="Garamond" w:hAnsi="Garamond" w:cs="Times New Roman"/>
          <w:sz w:val="24"/>
          <w:szCs w:val="24"/>
        </w:rPr>
      </w:pPr>
    </w:p>
    <w:sectPr w:rsidR="00290A53" w:rsidRPr="009A4ECC" w:rsidSect="001835B2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37" w:rsidRDefault="00E24F37" w:rsidP="00E24F37">
      <w:pPr>
        <w:spacing w:after="0" w:line="240" w:lineRule="auto"/>
      </w:pPr>
      <w:r>
        <w:separator/>
      </w:r>
    </w:p>
  </w:endnote>
  <w:endnote w:type="continuationSeparator" w:id="0">
    <w:p w:rsidR="00E24F37" w:rsidRDefault="00E24F37" w:rsidP="00E2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37" w:rsidRDefault="00E24F37" w:rsidP="00E24F37">
      <w:pPr>
        <w:spacing w:after="0" w:line="240" w:lineRule="auto"/>
      </w:pPr>
      <w:r>
        <w:separator/>
      </w:r>
    </w:p>
  </w:footnote>
  <w:footnote w:type="continuationSeparator" w:id="0">
    <w:p w:rsidR="00E24F37" w:rsidRDefault="00E24F37" w:rsidP="00E2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C" w:rsidRPr="00880C10" w:rsidRDefault="00D23B0C" w:rsidP="00D23B0C">
    <w:pPr>
      <w:shd w:val="clear" w:color="auto" w:fill="FBD4B4" w:themeFill="accent6" w:themeFillTint="66"/>
      <w:spacing w:line="240" w:lineRule="auto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2</w:t>
    </w:r>
  </w:p>
  <w:p w:rsidR="00D23B0C" w:rsidRDefault="00D23B0C" w:rsidP="00D23B0C">
    <w:pPr>
      <w:shd w:val="clear" w:color="auto" w:fill="FBD4B4" w:themeFill="accent6" w:themeFillTint="66"/>
      <w:spacing w:line="240" w:lineRule="auto"/>
      <w:rPr>
        <w:rFonts w:ascii="Garamond" w:hAnsi="Garamond"/>
        <w:b/>
        <w:sz w:val="32"/>
        <w:szCs w:val="32"/>
      </w:rPr>
    </w:pPr>
    <w:r w:rsidRPr="00880C10">
      <w:rPr>
        <w:rFonts w:ascii="Garamond" w:hAnsi="Garamond"/>
        <w:b/>
        <w:sz w:val="32"/>
        <w:szCs w:val="32"/>
      </w:rPr>
      <w:t xml:space="preserve">FAMILIEBLOK: </w:t>
    </w:r>
    <w:r>
      <w:rPr>
        <w:rFonts w:ascii="Garamond" w:hAnsi="Garamond"/>
        <w:b/>
        <w:sz w:val="32"/>
        <w:szCs w:val="32"/>
      </w:rPr>
      <w:t>Teenagere</w:t>
    </w:r>
  </w:p>
  <w:p w:rsidR="004611D9" w:rsidRPr="00D23B0C" w:rsidRDefault="00D23B0C" w:rsidP="00D23B0C">
    <w:pPr>
      <w:pStyle w:val="Sidehoved"/>
      <w:shd w:val="clear" w:color="auto" w:fill="FBD4B4" w:themeFill="accent6" w:themeFillTint="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A25"/>
    <w:multiLevelType w:val="hybridMultilevel"/>
    <w:tmpl w:val="5AECA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3246"/>
    <w:multiLevelType w:val="hybridMultilevel"/>
    <w:tmpl w:val="CD6C3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2847"/>
    <w:multiLevelType w:val="hybridMultilevel"/>
    <w:tmpl w:val="38663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6EDE"/>
    <w:multiLevelType w:val="hybridMultilevel"/>
    <w:tmpl w:val="F2CC1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800"/>
    <w:multiLevelType w:val="hybridMultilevel"/>
    <w:tmpl w:val="79949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0479A"/>
    <w:multiLevelType w:val="hybridMultilevel"/>
    <w:tmpl w:val="529E0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E7B20"/>
    <w:multiLevelType w:val="hybridMultilevel"/>
    <w:tmpl w:val="7D0A5AF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37"/>
    <w:rsid w:val="000A6681"/>
    <w:rsid w:val="001D27A6"/>
    <w:rsid w:val="00290A53"/>
    <w:rsid w:val="006B0514"/>
    <w:rsid w:val="007C0DB2"/>
    <w:rsid w:val="0082386C"/>
    <w:rsid w:val="009A4ECC"/>
    <w:rsid w:val="00AA5CBF"/>
    <w:rsid w:val="00C079FF"/>
    <w:rsid w:val="00D23B0C"/>
    <w:rsid w:val="00D33919"/>
    <w:rsid w:val="00E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4F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4F37"/>
  </w:style>
  <w:style w:type="paragraph" w:styleId="Sidefod">
    <w:name w:val="footer"/>
    <w:basedOn w:val="Normal"/>
    <w:link w:val="SidefodTegn"/>
    <w:uiPriority w:val="99"/>
    <w:unhideWhenUsed/>
    <w:rsid w:val="00E2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4F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4F3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F37"/>
    <w:rPr>
      <w:rFonts w:ascii="Tahoma" w:eastAsia="Times New Roman" w:hAnsi="Tahoma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4F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4F37"/>
  </w:style>
  <w:style w:type="paragraph" w:styleId="Sidefod">
    <w:name w:val="footer"/>
    <w:basedOn w:val="Normal"/>
    <w:link w:val="SidefodTegn"/>
    <w:uiPriority w:val="99"/>
    <w:unhideWhenUsed/>
    <w:rsid w:val="00E2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4F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4F3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F37"/>
    <w:rPr>
      <w:rFonts w:ascii="Tahoma" w:eastAsia="Times New Roman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503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Siliane Bjerre</cp:lastModifiedBy>
  <cp:revision>5</cp:revision>
  <dcterms:created xsi:type="dcterms:W3CDTF">2016-06-13T10:36:00Z</dcterms:created>
  <dcterms:modified xsi:type="dcterms:W3CDTF">2016-07-08T10:17:00Z</dcterms:modified>
</cp:coreProperties>
</file>